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155</w:t>
      </w:r>
    </w:p>
    <w:p>
      <w:r>
        <w:t>Bundesgericht (BGE), 1995-06-27, DE</w:t>
      </w:r>
    </w:p>
    <w:p>
      <w:r>
        <w:rPr>
          <w:b/>
        </w:rPr>
        <w:t xml:space="preserve">Quelle: </w:t>
      </w:r>
      <w:r>
        <w:t>https://mcp.opencaselaw.ch/entscheid/bge_121 I 155</w:t>
      </w:r>
    </w:p>
    <w:p>
      <w:r>
        <w:t>FR: ATF 121 I 155</w:t>
      </w:r>
    </w:p>
    <w:p>
      <w:r>
        <w:t>IT: DTF 121 I 155</w:t>
      </w:r>
    </w:p>
    <w:p>
      <w:pPr>
        <w:pStyle w:val="Heading2"/>
      </w:pPr>
      <w:r>
        <w:t>Regeste</w:t>
      </w:r>
    </w:p>
    <w:p>
      <w:r>
        <w:t>Regeste Art. 85 lit. a OG; Stimmrechtsbeschwerde gegen die Auslegung einer vom Volk beschlossenen Regelung. Aus dem Stimmrecht ergibt sich kein Anspruch darauf, dass eine vom Volk erlassene Regelung von den rechtsanwendenden Behörden nur in einem ganz bestimmten Sinne ausgelegt werde (E. 2a). Art. 48 der Zürcher Kantonsverfassung; Gemeindeautonomie. Die Zürcher Gemeinden besitzen im Bereich der Prozessführung Autonomie (E. 4). Aufsicht über die Gemeinden im Kanton Zürich. Der Regierungsrat kann die Gemeinden mit einer aufsichtsrechtlichen Weisung dazu anhalten, eine Gesetzesbestimmung strenger anzuwenden als bisher (E. 5b). § 155 des Zürcher Gemeindegesetzes; Zuständigkeit zum Entscheid über die Ergreifung von Rechtsmitteln in den Zürcher Gemeinden. Die Auslegung von § 155 des Zürcher Gemeindegesetzes, nach der über die Anfechtung eines Rechtsmittelentscheids stets das kommunale Legislativorgan entscheiden muss und eine Delegation dieser Kompetenz an das Exekutivorgan unzulässig ist, erscheint nicht als willkürlich (E. 6).</w:t>
      </w:r>
    </w:p>
    <w:p>
      <w:pPr>
        <w:pStyle w:val="Heading2"/>
      </w:pPr>
      <w:r>
        <w:t>Erwägungen</w:t>
      </w:r>
    </w:p>
    <w:p>
      <w:r>
        <w:rPr>
          <w:b/>
        </w:rPr>
        <w:t>E. 2</w:t>
      </w:r>
    </w:p>
    <w:p>
      <w:r>
        <w:t>Der Beschwerdeführer S. macht geltend, der angefochtene Aufsichtsentscheid des Regierungsrats missachte den Volksentscheid vom 17. Mai 1992 und verletze daher die politischen Rechte der Stimmbürger. Die damals vom Volk beschlossene Regelung, welche den Stadtrat verpflichte, die die Bau- und Zonenordnung ganz oder teilweise aufhebenden Rechtsmittelentscheide anzufechten, werde durch die regierungsrätlichen Anordnungen ihres Gehalts völlig entleert und faktisch ausser Kraft gesetzt. a) Mit dem angefochtenen Entscheid wird die fragliche Ziffer 3 der vom Volk am 17. Mai 1992 angenommenen Vorlage über die Bau- und Zonenordnung nicht aufgehoben. Der Regierungsrat hat vielmehr erklärt, diese lasse sich so auslegen, dass sie mit den Vorgaben des übergeordneten Rechts von § 155 GemG in Einklang stehe. Dementsprechend hat er den Stadtrat von Zürich zu einer bestimmten Handhabung von Ziffer 3 des Beschlusses vom 17. Mai 1992 angehalten. Entgegen der Auffassung des Beschwerdeführers greift die regierungsrätliche Anordnung nicht in die politischen Rechte der Stimmbürger ein. Wie erwähnt hebt sie Ziffer 3 des Beschlusses vom 17. Mai 1992 nicht auf. Zudem ergibt sich aus dem Stimmrecht kein Anspruch darauf, dass eine vom Volk erlassene BGE 121 I 155 S. 158 Regelung von den rechtsanwendenden Behörden nur in einem ganz bestimmten Sinne verstanden und ausgelegt werde. Selbst wenn im vorliegenden Fall die umstrittene Ziffer 3 aufgehoben worden wäre, stünde dagegen die Stimmrechtsbeschwerde als Rechtsmittel nicht zur Verfügung. Die staatsrechtliche Beschwerde nach Art. 85 lit. a OG ist nur zulässig, soweit die Rechtmässigkeit des Abstimmungsverfahrens oder die Ermittlung des Abstimmungsergebnisses in Frage steht, jedoch nicht, wenn - wie hier - lediglich die mit den politischen Rechten nicht im Zusammenhang stehende Zulässigkeit eines Gemeindebeschlusses streitig ist ( BGE 117 Ia 66 E. 1d/cc S. 68; BGE 111 Ia 134 E. 3 S. 137; Urteil des Bundesgerichts vom 12. Oktober 1988 in ZBl 90/1989 275 E. 2a). Soweit sich aus dem vom Beschwerdeführer genannten Entscheid des Bundesgerichts vom 14. Dezember 1988 (nicht veröffentlichte E. 1b von BGE 114 Ia 413 ff.) auf die gegenteilige Auffassung schliessen lässt, kann daran nicht festgehalten werden. Auf die geltend gemachte Verletzung der politischen Rechte ist somit nicht einzutreten. b) Die ebenfalls gerügten Verletzungen von Art. 4 BV und der Gemeindeautonomie erhebt der Beschwerdeführer bloss hilfsweise. Es kommt ihnen daher neben der geltend gemachten Stimmrechtsverletzung keine selbständige Bedeutung zu, und es sind diese Rügen daher ebensowenig zulässig wie die behauptete Verletzung der politischen Rechte.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